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AE2065">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E30D9B">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3C36BB" w:rsidRDefault="00EA0ACE" w:rsidP="00185A30">
            <w:pPr>
              <w:jc w:val="center"/>
              <w:rPr>
                <w:rFonts w:ascii="Times New Roman" w:hAnsi="Times New Roman" w:cs="Times New Roman"/>
                <w:b/>
                <w:bCs/>
                <w:sz w:val="30"/>
                <w:szCs w:val="30"/>
              </w:rPr>
            </w:pPr>
            <w:r>
              <w:rPr>
                <w:rFonts w:ascii="Times New Roman" w:hAnsi="Times New Roman" w:cs="Times New Roman"/>
                <w:b/>
                <w:bCs/>
                <w:sz w:val="30"/>
                <w:szCs w:val="30"/>
              </w:rPr>
              <w:t>CHO PHÉP TRƯỜNG TRUNG HỌC CƠ SỞ</w:t>
            </w:r>
          </w:p>
          <w:p w:rsidR="00FD0AE6" w:rsidRDefault="003C36BB" w:rsidP="00185A30">
            <w:pPr>
              <w:jc w:val="center"/>
              <w:rPr>
                <w:rFonts w:ascii="Times New Roman" w:hAnsi="Times New Roman" w:cs="Times New Roman"/>
                <w:b/>
                <w:bCs/>
                <w:sz w:val="30"/>
                <w:szCs w:val="30"/>
              </w:rPr>
            </w:pPr>
            <w:r>
              <w:rPr>
                <w:rFonts w:ascii="Times New Roman" w:hAnsi="Times New Roman" w:cs="Times New Roman"/>
                <w:b/>
                <w:bCs/>
                <w:sz w:val="30"/>
                <w:szCs w:val="30"/>
              </w:rPr>
              <w:t>HOẠT ĐỘNG TRỞ LẠI</w:t>
            </w:r>
          </w:p>
        </w:tc>
      </w:tr>
    </w:tbl>
    <w:p w:rsidR="00167851" w:rsidRDefault="00167851" w:rsidP="008B5C7D">
      <w:pPr>
        <w:rPr>
          <w:rFonts w:ascii="Times New Roman" w:hAnsi="Times New Roman" w:cs="Times New Roman"/>
          <w:b/>
          <w:bCs/>
          <w:sz w:val="30"/>
          <w:szCs w:val="30"/>
        </w:rPr>
      </w:pPr>
    </w:p>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DC20CC">
              <w:rPr>
                <w:rFonts w:ascii="Times New Roman" w:hAnsi="Times New Roman" w:cs="Times New Roman"/>
                <w:b/>
                <w:bCs/>
                <w:sz w:val="26"/>
                <w:szCs w:val="26"/>
              </w:rPr>
              <w:t>0</w:t>
            </w:r>
            <w:r w:rsidR="009C6532">
              <w:rPr>
                <w:rFonts w:ascii="Times New Roman" w:hAnsi="Times New Roman" w:cs="Times New Roman"/>
                <w:b/>
                <w:bCs/>
                <w:sz w:val="26"/>
                <w:szCs w:val="26"/>
              </w:rPr>
              <w:t>3</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D147CB">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E91717" w:rsidP="00DB0566">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384"/>
        <w:gridCol w:w="2407"/>
        <w:gridCol w:w="2710"/>
        <w:gridCol w:w="2786"/>
      </w:tblGrid>
      <w:tr w:rsidR="00AE2065" w:rsidTr="00F056BA">
        <w:trPr>
          <w:trHeight w:val="567"/>
        </w:trPr>
        <w:tc>
          <w:tcPr>
            <w:tcW w:w="745" w:type="pct"/>
            <w:tcBorders>
              <w:top w:val="single" w:sz="4" w:space="0" w:color="auto"/>
              <w:left w:val="nil"/>
              <w:bottom w:val="single" w:sz="4" w:space="0" w:color="auto"/>
              <w:right w:val="single" w:sz="4" w:space="0" w:color="auto"/>
            </w:tcBorders>
            <w:shd w:val="clear" w:color="auto" w:fill="auto"/>
            <w:vAlign w:val="center"/>
          </w:tcPr>
          <w:p w:rsidR="00AE2065" w:rsidRDefault="00AE2065" w:rsidP="00AE2065">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96" w:type="pct"/>
            <w:tcBorders>
              <w:left w:val="single" w:sz="4" w:space="0" w:color="auto"/>
              <w:bottom w:val="single" w:sz="4" w:space="0" w:color="auto"/>
              <w:right w:val="single" w:sz="4" w:space="0" w:color="auto"/>
            </w:tcBorders>
            <w:vAlign w:val="center"/>
          </w:tcPr>
          <w:p w:rsidR="00AE2065" w:rsidRDefault="00AE2065" w:rsidP="00AE2065">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left w:val="single" w:sz="4" w:space="0" w:color="auto"/>
              <w:bottom w:val="single" w:sz="4" w:space="0" w:color="auto"/>
              <w:right w:val="single" w:sz="4" w:space="0" w:color="auto"/>
            </w:tcBorders>
            <w:shd w:val="clear" w:color="auto" w:fill="auto"/>
            <w:vAlign w:val="center"/>
          </w:tcPr>
          <w:p w:rsidR="00AE2065" w:rsidRDefault="00AE2065" w:rsidP="00AE2065">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shd w:val="clear" w:color="auto" w:fill="auto"/>
            <w:vAlign w:val="center"/>
          </w:tcPr>
          <w:p w:rsidR="00AE2065" w:rsidRDefault="00AE2065" w:rsidP="00AE2065">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PHÊ DUYỆT</w:t>
            </w:r>
          </w:p>
        </w:tc>
      </w:tr>
      <w:tr w:rsidR="00AE2065" w:rsidTr="00AE2065">
        <w:trPr>
          <w:trHeight w:val="627"/>
        </w:trPr>
        <w:tc>
          <w:tcPr>
            <w:tcW w:w="745" w:type="pct"/>
            <w:tcBorders>
              <w:top w:val="single" w:sz="4" w:space="0" w:color="auto"/>
              <w:left w:val="nil"/>
              <w:bottom w:val="single" w:sz="4" w:space="0" w:color="auto"/>
              <w:right w:val="single" w:sz="4" w:space="0" w:color="auto"/>
            </w:tcBorders>
            <w:vAlign w:val="center"/>
          </w:tcPr>
          <w:p w:rsidR="00AE2065" w:rsidRDefault="00AE2065"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96" w:type="pct"/>
            <w:tcBorders>
              <w:top w:val="single" w:sz="4" w:space="0" w:color="auto"/>
              <w:left w:val="single" w:sz="4" w:space="0" w:color="auto"/>
              <w:bottom w:val="single" w:sz="4" w:space="0" w:color="auto"/>
              <w:right w:val="single" w:sz="4" w:space="0" w:color="auto"/>
            </w:tcBorders>
          </w:tcPr>
          <w:p w:rsidR="00AE2065" w:rsidRDefault="00E91717"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AE2065" w:rsidRDefault="00E91717"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AE2065" w:rsidRDefault="00E91717"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AE2065" w:rsidTr="00AE2065">
        <w:trPr>
          <w:trHeight w:val="2154"/>
        </w:trPr>
        <w:tc>
          <w:tcPr>
            <w:tcW w:w="745" w:type="pct"/>
            <w:tcBorders>
              <w:top w:val="single" w:sz="4" w:space="0" w:color="auto"/>
              <w:left w:val="nil"/>
              <w:bottom w:val="single" w:sz="4" w:space="0" w:color="auto"/>
              <w:right w:val="single" w:sz="4" w:space="0" w:color="auto"/>
            </w:tcBorders>
            <w:vAlign w:val="center"/>
          </w:tcPr>
          <w:p w:rsidR="00AE2065" w:rsidRDefault="00AE2065"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96" w:type="pct"/>
            <w:tcBorders>
              <w:top w:val="single" w:sz="4" w:space="0" w:color="auto"/>
              <w:left w:val="single" w:sz="4" w:space="0" w:color="auto"/>
              <w:bottom w:val="single" w:sz="4" w:space="0" w:color="auto"/>
              <w:right w:val="single" w:sz="4" w:space="0" w:color="auto"/>
            </w:tcBorders>
          </w:tcPr>
          <w:p w:rsidR="00AE2065" w:rsidRDefault="00AE2065" w:rsidP="00AE2065">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AE2065" w:rsidRDefault="00AE2065" w:rsidP="00AE2065">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AE2065" w:rsidRDefault="00AE2065" w:rsidP="00AE2065">
            <w:pPr>
              <w:spacing w:before="120" w:after="120"/>
              <w:jc w:val="center"/>
              <w:rPr>
                <w:rFonts w:ascii="Times New Roman" w:hAnsi="Times New Roman" w:cs="Times New Roman"/>
                <w:b/>
                <w:bCs/>
                <w:sz w:val="26"/>
                <w:szCs w:val="26"/>
              </w:rPr>
            </w:pPr>
          </w:p>
        </w:tc>
      </w:tr>
      <w:tr w:rsidR="00AE2065" w:rsidTr="00AE2065">
        <w:trPr>
          <w:trHeight w:val="699"/>
        </w:trPr>
        <w:tc>
          <w:tcPr>
            <w:tcW w:w="745" w:type="pct"/>
            <w:tcBorders>
              <w:top w:val="single" w:sz="4" w:space="0" w:color="auto"/>
              <w:left w:val="nil"/>
              <w:bottom w:val="nil"/>
              <w:right w:val="single" w:sz="4" w:space="0" w:color="auto"/>
            </w:tcBorders>
            <w:vAlign w:val="center"/>
          </w:tcPr>
          <w:p w:rsidR="00AE2065" w:rsidRDefault="00AE2065"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96" w:type="pct"/>
            <w:tcBorders>
              <w:top w:val="single" w:sz="4" w:space="0" w:color="auto"/>
              <w:left w:val="single" w:sz="4" w:space="0" w:color="auto"/>
              <w:bottom w:val="nil"/>
              <w:right w:val="single" w:sz="4" w:space="0" w:color="auto"/>
            </w:tcBorders>
          </w:tcPr>
          <w:p w:rsidR="00AE2065" w:rsidRDefault="00E91717"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AE2065" w:rsidRDefault="00E91717"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AE2065" w:rsidRDefault="00E91717" w:rsidP="00AE206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E61837">
        <w:trPr>
          <w:trHeight w:val="624"/>
        </w:trPr>
        <w:tc>
          <w:tcPr>
            <w:tcW w:w="1526"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3067"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1541" w:type="dxa"/>
          </w:tcPr>
          <w:p w:rsidR="00E61837" w:rsidRDefault="00E61837">
            <w:pPr>
              <w:spacing w:before="120" w:after="120" w:line="300" w:lineRule="exact"/>
              <w:rPr>
                <w:rFonts w:ascii="Times New Roman" w:hAnsi="Times New Roman" w:cs="Times New Roman"/>
                <w:b/>
                <w:bCs/>
                <w:sz w:val="26"/>
                <w:szCs w:val="26"/>
              </w:rPr>
            </w:pPr>
          </w:p>
        </w:tc>
      </w:tr>
      <w:tr w:rsidR="009D56E3">
        <w:trPr>
          <w:trHeight w:val="624"/>
        </w:trPr>
        <w:tc>
          <w:tcPr>
            <w:tcW w:w="1526"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3067"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1541" w:type="dxa"/>
          </w:tcPr>
          <w:p w:rsidR="009D56E3" w:rsidRDefault="009D56E3">
            <w:pPr>
              <w:spacing w:before="120" w:after="120" w:line="300" w:lineRule="exact"/>
              <w:rPr>
                <w:rFonts w:ascii="Times New Roman" w:hAnsi="Times New Roman" w:cs="Times New Roman"/>
                <w:b/>
                <w:bCs/>
                <w:sz w:val="26"/>
                <w:szCs w:val="26"/>
              </w:rPr>
            </w:pPr>
          </w:p>
        </w:tc>
      </w:tr>
    </w:tbl>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2C37F0">
        <w:rPr>
          <w:rFonts w:ascii="Times New Roman" w:hAnsi="Times New Roman" w:cs="Times New Roman"/>
          <w:sz w:val="26"/>
          <w:szCs w:val="26"/>
        </w:rPr>
        <w:t xml:space="preserve">Cho phép trường trung học cơ sở </w:t>
      </w:r>
      <w:r w:rsidR="008876D6">
        <w:rPr>
          <w:rFonts w:ascii="Times New Roman" w:hAnsi="Times New Roman" w:cs="Times New Roman"/>
          <w:sz w:val="26"/>
          <w:szCs w:val="26"/>
        </w:rPr>
        <w:t>hoạt động trở lại</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8876D6">
        <w:rPr>
          <w:rFonts w:ascii="Times New Roman" w:hAnsi="Times New Roman" w:cs="Times New Roman"/>
          <w:sz w:val="26"/>
          <w:szCs w:val="26"/>
        </w:rPr>
        <w:t>Cho phép trường trung học cơ sở hoạt động trở lại</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r w:rsidR="00AE2065">
        <w:rPr>
          <w:rFonts w:ascii="Times New Roman" w:hAnsi="Times New Roman"/>
          <w:b/>
          <w:bCs/>
          <w:sz w:val="26"/>
          <w:szCs w:val="26"/>
        </w:rPr>
        <w:t>VIỆN DẪN</w:t>
      </w:r>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542395" w:rsidRPr="00285F22" w:rsidRDefault="00542395">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THCS</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w:t>
      </w:r>
      <w:r>
        <w:rPr>
          <w:rFonts w:ascii="Times New Roman" w:hAnsi="Times New Roman" w:cs="Times New Roman"/>
          <w:b/>
          <w:bCs/>
          <w:sz w:val="26"/>
          <w:szCs w:val="26"/>
        </w:rPr>
        <w:tab/>
      </w:r>
      <w:r>
        <w:rPr>
          <w:rFonts w:ascii="Times New Roman" w:hAnsi="Times New Roman" w:cs="Times New Roman"/>
          <w:sz w:val="26"/>
          <w:szCs w:val="26"/>
        </w:rPr>
        <w:t>Trường Trung học cơ sở;</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5.1</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Cơ sở pháp lý</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AE2065" w:rsidRPr="00AE2065" w:rsidRDefault="00AE2065" w:rsidP="00AE2065">
            <w:pPr>
              <w:widowControl w:val="0"/>
              <w:spacing w:before="120" w:after="120" w:line="300" w:lineRule="exact"/>
              <w:jc w:val="both"/>
              <w:rPr>
                <w:rFonts w:ascii="Times New Roman" w:hAnsi="Times New Roman"/>
                <w:color w:val="000000"/>
                <w:sz w:val="26"/>
                <w:szCs w:val="26"/>
                <w:shd w:val="clear" w:color="auto" w:fill="FFFFFF"/>
              </w:rPr>
            </w:pPr>
            <w:r w:rsidRPr="00AE2065">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AE2065" w:rsidRPr="00AE2065" w:rsidRDefault="00AE2065" w:rsidP="00AE2065">
            <w:pPr>
              <w:widowControl w:val="0"/>
              <w:spacing w:before="120" w:after="120" w:line="300" w:lineRule="exact"/>
              <w:jc w:val="both"/>
              <w:rPr>
                <w:rFonts w:ascii="Times New Roman" w:hAnsi="Times New Roman"/>
                <w:color w:val="000000"/>
                <w:sz w:val="26"/>
                <w:szCs w:val="26"/>
                <w:shd w:val="clear" w:color="auto" w:fill="FFFFFF"/>
              </w:rPr>
            </w:pPr>
            <w:r w:rsidRPr="00AE2065">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AE2065" w:rsidRPr="00AE2065" w:rsidRDefault="00AE2065" w:rsidP="00AE2065">
            <w:pPr>
              <w:widowControl w:val="0"/>
              <w:spacing w:before="120" w:after="120" w:line="300" w:lineRule="exact"/>
              <w:jc w:val="both"/>
              <w:rPr>
                <w:rFonts w:ascii="Times New Roman" w:hAnsi="Times New Roman"/>
                <w:color w:val="000000"/>
                <w:sz w:val="26"/>
                <w:szCs w:val="26"/>
                <w:shd w:val="clear" w:color="auto" w:fill="FFFFFF"/>
              </w:rPr>
            </w:pPr>
            <w:r w:rsidRPr="00AE2065">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AE2065" w:rsidRPr="00AE2065" w:rsidRDefault="00AE2065" w:rsidP="00AE2065">
            <w:pPr>
              <w:widowControl w:val="0"/>
              <w:spacing w:before="120" w:after="120" w:line="300" w:lineRule="exact"/>
              <w:jc w:val="both"/>
              <w:rPr>
                <w:rFonts w:ascii="Times New Roman" w:hAnsi="Times New Roman"/>
                <w:color w:val="000000"/>
                <w:sz w:val="26"/>
                <w:szCs w:val="26"/>
                <w:shd w:val="clear" w:color="auto" w:fill="FFFFFF"/>
              </w:rPr>
            </w:pPr>
            <w:r w:rsidRPr="00AE2065">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D147CB" w:rsidRPr="00C505B8" w:rsidRDefault="00AE2065" w:rsidP="00AE2065">
            <w:pPr>
              <w:widowControl w:val="0"/>
              <w:spacing w:before="120" w:after="120" w:line="300" w:lineRule="exact"/>
              <w:jc w:val="both"/>
              <w:rPr>
                <w:rFonts w:ascii="Times New Roman" w:hAnsi="Times New Roman"/>
                <w:color w:val="000000"/>
                <w:sz w:val="26"/>
                <w:szCs w:val="26"/>
                <w:shd w:val="clear" w:color="auto" w:fill="FFFFFF"/>
              </w:rPr>
            </w:pPr>
            <w:r w:rsidRPr="00AE2065">
              <w:rPr>
                <w:rFonts w:ascii="Times New Roman" w:hAnsi="Times New Roman"/>
                <w:color w:val="000000"/>
                <w:sz w:val="26"/>
                <w:szCs w:val="26"/>
                <w:shd w:val="clear" w:color="auto" w:fill="FFFFFF"/>
              </w:rPr>
              <w:t>Quyết định số 2876/QĐ-UBND  ngày 02 tháng 7 năm 2020 của UBND Thành phố Hà Nội về việc phê duyệt quy trình nội bộ giải quyết thủ tục hành chính thuộc phạm vi chức năng quản lý nhà nước của Sở Giáo dục và Đào tạo thành phố Hà Nội.</w:t>
            </w:r>
          </w:p>
        </w:tc>
      </w:tr>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lastRenderedPageBreak/>
              <w:t>5.2</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Điều kiện thực hiện thủ tục hành chính</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eastAsia="Times New Roman" w:hAnsi="Times New Roman"/>
                <w:iCs/>
                <w:sz w:val="26"/>
                <w:szCs w:val="26"/>
                <w:lang w:eastAsia="fr-FR"/>
              </w:rPr>
            </w:pPr>
            <w:r w:rsidRPr="00C505B8">
              <w:rPr>
                <w:rFonts w:ascii="Times New Roman" w:eastAsia="Times New Roman" w:hAnsi="Times New Roman"/>
                <w:iCs/>
                <w:sz w:val="26"/>
                <w:szCs w:val="26"/>
                <w:lang w:eastAsia="fr-FR"/>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tc>
      </w:tr>
      <w:tr w:rsidR="00D147CB" w:rsidRPr="00C505B8" w:rsidTr="00EC3D56">
        <w:tc>
          <w:tcPr>
            <w:tcW w:w="675" w:type="dxa"/>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5.3</w:t>
            </w:r>
          </w:p>
        </w:tc>
        <w:tc>
          <w:tcPr>
            <w:tcW w:w="6128" w:type="dxa"/>
            <w:gridSpan w:val="3"/>
            <w:shd w:val="clear" w:color="auto" w:fill="auto"/>
          </w:tcPr>
          <w:p w:rsidR="00D147CB" w:rsidRPr="00C505B8" w:rsidRDefault="00D147CB" w:rsidP="00EC3D56">
            <w:pPr>
              <w:widowControl w:val="0"/>
              <w:spacing w:before="120" w:after="120" w:line="300" w:lineRule="exact"/>
              <w:rPr>
                <w:rFonts w:ascii="Times New Roman" w:hAnsi="Times New Roman"/>
                <w:b/>
                <w:bCs/>
                <w:sz w:val="26"/>
                <w:szCs w:val="26"/>
              </w:rPr>
            </w:pPr>
            <w:r w:rsidRPr="00C505B8">
              <w:rPr>
                <w:rFonts w:ascii="Times New Roman" w:hAnsi="Times New Roman"/>
                <w:b/>
                <w:bCs/>
                <w:sz w:val="26"/>
                <w:szCs w:val="26"/>
              </w:rPr>
              <w:t>Thành phần hồ sơ</w:t>
            </w:r>
          </w:p>
        </w:tc>
        <w:tc>
          <w:tcPr>
            <w:tcW w:w="1225"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Bản chính</w:t>
            </w:r>
          </w:p>
        </w:tc>
        <w:tc>
          <w:tcPr>
            <w:tcW w:w="1037"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Bản sao</w:t>
            </w:r>
          </w:p>
        </w:tc>
      </w:tr>
      <w:tr w:rsidR="00D147CB" w:rsidRPr="00C505B8" w:rsidTr="00EC3D56">
        <w:tc>
          <w:tcPr>
            <w:tcW w:w="675" w:type="dxa"/>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Tờ trình cho phép hoạt động giáo dục trở lại.</w:t>
            </w:r>
          </w:p>
        </w:tc>
        <w:tc>
          <w:tcPr>
            <w:tcW w:w="1225"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x</w:t>
            </w:r>
          </w:p>
        </w:tc>
        <w:tc>
          <w:tcPr>
            <w:tcW w:w="1037"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p>
        </w:tc>
      </w:tr>
      <w:tr w:rsidR="00D147CB" w:rsidRPr="00C505B8" w:rsidTr="00EC3D56">
        <w:tc>
          <w:tcPr>
            <w:tcW w:w="675" w:type="dxa"/>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303CE6">
              <w:rPr>
                <w:rFonts w:ascii="Times New Roman" w:hAnsi="Times New Roman"/>
                <w:sz w:val="26"/>
                <w:szCs w:val="26"/>
              </w:rPr>
              <w:t>Quyết định thành lập đoàn kiểm tra</w:t>
            </w:r>
          </w:p>
        </w:tc>
        <w:tc>
          <w:tcPr>
            <w:tcW w:w="1225"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Pr>
                <w:rFonts w:ascii="Times New Roman" w:hAnsi="Times New Roman"/>
                <w:b/>
                <w:bCs/>
                <w:sz w:val="26"/>
                <w:szCs w:val="26"/>
              </w:rPr>
              <w:t>x</w:t>
            </w:r>
          </w:p>
        </w:tc>
        <w:tc>
          <w:tcPr>
            <w:tcW w:w="1037"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p>
        </w:tc>
      </w:tr>
      <w:tr w:rsidR="00D147CB" w:rsidRPr="00C505B8" w:rsidTr="00EC3D56">
        <w:tc>
          <w:tcPr>
            <w:tcW w:w="675" w:type="dxa"/>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303CE6">
              <w:rPr>
                <w:rFonts w:ascii="Times New Roman" w:hAnsi="Times New Roman"/>
                <w:sz w:val="26"/>
                <w:szCs w:val="26"/>
              </w:rPr>
              <w:t>Biên bản kiểm tra</w:t>
            </w:r>
          </w:p>
        </w:tc>
        <w:tc>
          <w:tcPr>
            <w:tcW w:w="1225"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Pr>
                <w:rFonts w:ascii="Times New Roman" w:hAnsi="Times New Roman"/>
                <w:b/>
                <w:bCs/>
                <w:sz w:val="26"/>
                <w:szCs w:val="26"/>
              </w:rPr>
              <w:t>x</w:t>
            </w:r>
          </w:p>
        </w:tc>
        <w:tc>
          <w:tcPr>
            <w:tcW w:w="1037"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p>
        </w:tc>
      </w:tr>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5.4</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Số lượng hồ sơ</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01 bộ.</w:t>
            </w:r>
          </w:p>
        </w:tc>
      </w:tr>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5.5</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Thời hạn giải quyết</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20</w:t>
            </w:r>
            <w:r w:rsidRPr="00C505B8">
              <w:rPr>
                <w:rFonts w:ascii="Times New Roman" w:hAnsi="Times New Roman"/>
                <w:sz w:val="26"/>
                <w:szCs w:val="26"/>
              </w:rPr>
              <w:t xml:space="preserve"> ngày làm việc, kể từ khi nhận đủ hồ sơ hợp lệ.</w:t>
            </w:r>
          </w:p>
        </w:tc>
      </w:tr>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5.6</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Nơi tiếp nhận hồ sơ</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xml:space="preserve">BPMC UBND </w:t>
            </w:r>
            <w:r>
              <w:rPr>
                <w:rFonts w:ascii="Times New Roman" w:hAnsi="Times New Roman"/>
                <w:sz w:val="26"/>
                <w:szCs w:val="26"/>
              </w:rPr>
              <w:t>huyện</w:t>
            </w:r>
            <w:r w:rsidRPr="00C505B8">
              <w:rPr>
                <w:rFonts w:ascii="Times New Roman" w:hAnsi="Times New Roman"/>
                <w:sz w:val="26"/>
                <w:szCs w:val="26"/>
              </w:rPr>
              <w:t>.</w:t>
            </w:r>
          </w:p>
        </w:tc>
      </w:tr>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5.7</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Lệ phí</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Không.</w:t>
            </w:r>
          </w:p>
        </w:tc>
      </w:tr>
      <w:tr w:rsidR="00D147CB" w:rsidRPr="00C505B8" w:rsidTr="00EC3D56">
        <w:tc>
          <w:tcPr>
            <w:tcW w:w="675" w:type="dxa"/>
            <w:vMerge w:val="restart"/>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5.8</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Kết quả giải quyết thủ tục hành chính</w:t>
            </w:r>
          </w:p>
        </w:tc>
      </w:tr>
      <w:tr w:rsidR="00D147CB" w:rsidRPr="00C505B8" w:rsidTr="00EC3D56">
        <w:tc>
          <w:tcPr>
            <w:tcW w:w="675" w:type="dxa"/>
            <w:vMerge/>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Quyết định cho phép nhà trường hoạt động giáo dục trở lại.</w:t>
            </w:r>
          </w:p>
        </w:tc>
      </w:tr>
      <w:tr w:rsidR="00D147CB" w:rsidRPr="00C505B8" w:rsidTr="00EC3D56">
        <w:tc>
          <w:tcPr>
            <w:tcW w:w="675" w:type="dxa"/>
            <w:shd w:val="clear" w:color="auto" w:fill="auto"/>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5.9</w:t>
            </w:r>
          </w:p>
        </w:tc>
        <w:tc>
          <w:tcPr>
            <w:tcW w:w="8390" w:type="dxa"/>
            <w:gridSpan w:val="6"/>
            <w:shd w:val="clear" w:color="auto" w:fill="auto"/>
          </w:tcPr>
          <w:p w:rsidR="00D147CB" w:rsidRPr="00C505B8" w:rsidRDefault="00D147CB" w:rsidP="00EC3D56">
            <w:pPr>
              <w:widowControl w:val="0"/>
              <w:spacing w:before="120" w:after="120" w:line="300" w:lineRule="exact"/>
              <w:jc w:val="both"/>
              <w:rPr>
                <w:rFonts w:ascii="Times New Roman" w:hAnsi="Times New Roman"/>
                <w:b/>
                <w:bCs/>
                <w:sz w:val="26"/>
                <w:szCs w:val="26"/>
              </w:rPr>
            </w:pPr>
            <w:r w:rsidRPr="00C505B8">
              <w:rPr>
                <w:rFonts w:ascii="Times New Roman" w:hAnsi="Times New Roman"/>
                <w:b/>
                <w:bCs/>
                <w:sz w:val="26"/>
                <w:szCs w:val="26"/>
              </w:rPr>
              <w:t>Quy trình xử lý công việc</w:t>
            </w:r>
          </w:p>
        </w:tc>
      </w:tr>
      <w:tr w:rsidR="00D147CB" w:rsidRPr="00C505B8" w:rsidTr="00EC3D56">
        <w:tc>
          <w:tcPr>
            <w:tcW w:w="675"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TT</w:t>
            </w:r>
          </w:p>
        </w:tc>
        <w:tc>
          <w:tcPr>
            <w:tcW w:w="4269"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Trình tự thực hiện công việc</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Trách nhiệm</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Thời gian</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b/>
                <w:bCs/>
                <w:sz w:val="26"/>
                <w:szCs w:val="26"/>
              </w:rPr>
            </w:pPr>
            <w:r w:rsidRPr="00C505B8">
              <w:rPr>
                <w:rFonts w:ascii="Times New Roman" w:hAnsi="Times New Roman"/>
                <w:b/>
                <w:bCs/>
                <w:sz w:val="26"/>
                <w:szCs w:val="26"/>
              </w:rPr>
              <w:t>Biểu mẫu</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Nộp hồ sơ</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C505B8">
              <w:rPr>
                <w:rFonts w:ascii="Times New Roman" w:hAnsi="Times New Roman"/>
                <w:sz w:val="26"/>
                <w:szCs w:val="26"/>
              </w:rPr>
              <w:t xml:space="preserve">, hoặc nộp trực tuyến trên trang web Dịch vụ </w:t>
            </w:r>
            <w:r w:rsidRPr="00C505B8">
              <w:rPr>
                <w:rFonts w:ascii="Times New Roman" w:hAnsi="Times New Roman"/>
                <w:sz w:val="26"/>
                <w:szCs w:val="26"/>
              </w:rPr>
              <w:lastRenderedPageBreak/>
              <w:t>công trực tuyến.</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lastRenderedPageBreak/>
              <w:t>Tổ chức/cá nhân;</w:t>
            </w:r>
          </w:p>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Giờ hành chính</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Theo mục 5.3</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Tiếp nhận và bàn giao hồ sơ</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xml:space="preserve">BPMC UBND </w:t>
            </w:r>
            <w:r>
              <w:rPr>
                <w:rFonts w:ascii="Times New Roman" w:hAnsi="Times New Roman"/>
                <w:sz w:val="26"/>
                <w:szCs w:val="26"/>
              </w:rPr>
              <w:t>huyện</w:t>
            </w:r>
            <w:r w:rsidRPr="00C505B8">
              <w:rPr>
                <w:rFonts w:ascii="Times New Roman" w:hAnsi="Times New Roman"/>
                <w:sz w:val="26"/>
                <w:szCs w:val="26"/>
              </w:rPr>
              <w:t xml:space="preserve"> tiếp nhận và giải quyết hồ sơ theo quy trình QT-UBND-06, bàn giao hồ sơ cho Phòng GD&amp;ĐT.</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BPMC;</w:t>
            </w:r>
          </w:p>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Phòng GD&amp;ĐT</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½ ngày</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QT-UBND-06</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Lãnh đạo phòng phân công thụ lý</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Lãnh đạo phòng sau khi tiếp nhận hồ sơ phân công công việc cho Chuyên viên phòng thụ lý, giải quyết.</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Phòng GD&amp;ĐT</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½ ngày</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Mẫu số 05 (QT-UBND-06)</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i/>
                <w:sz w:val="26"/>
                <w:szCs w:val="26"/>
              </w:rPr>
            </w:pPr>
            <w:r w:rsidRPr="00C505B8">
              <w:rPr>
                <w:rFonts w:ascii="Times New Roman" w:hAnsi="Times New Roman"/>
                <w:b/>
                <w:i/>
                <w:sz w:val="26"/>
                <w:szCs w:val="26"/>
              </w:rPr>
              <w:t>Thẩm định hồ sơ</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xml:space="preserve">Chuyên viên thụ lý hồ sơ tiến hành thẩm định hồ sơ và kiểm tra thực tế tại cơ sở: </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Trường hợp hồ sơ, cơ sở không đáp ứng yêu cầu: thông báo cho tổ chức, cá nhân trong thời hạn không quá 10 ngày, nêu rõ lý do;</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Trường hợp hồ sơ cần giải trình và bổ sung thêm: thông báo cho tổ chức, cá nhân không quá 10 ngày kể từ ngày viết biên nhận;</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Trường hợp đạt yêu cầu: tiến hành bước tiếp theo.</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Phòng GD&amp;ĐT</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1</w:t>
            </w:r>
            <w:r>
              <w:rPr>
                <w:rFonts w:ascii="Times New Roman" w:hAnsi="Times New Roman"/>
                <w:sz w:val="26"/>
                <w:szCs w:val="26"/>
              </w:rPr>
              <w:t>5</w:t>
            </w:r>
            <w:r w:rsidRPr="00C505B8">
              <w:rPr>
                <w:rFonts w:ascii="Times New Roman" w:hAnsi="Times New Roman"/>
                <w:sz w:val="26"/>
                <w:szCs w:val="26"/>
              </w:rPr>
              <w:t xml:space="preserve"> ngày</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Mẫu số 02+03+05 (QT-UBND-06)</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Dự thảo kết quả giải quyết hồ sơ</w:t>
            </w:r>
          </w:p>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sz w:val="26"/>
                <w:szCs w:val="26"/>
              </w:rPr>
              <w:t>Đối với trường hợp hồ sơ hợp lệ, Chuyên viên dự thảo Tờ trình, Quyết định cho phép trường trung học cơ sở hoạt động giáo dục trở lại, trình lãnh đạo Phòng phê duyệt.</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Phòng GD&amp;ĐT</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 xml:space="preserve">02 </w:t>
            </w:r>
            <w:r w:rsidRPr="00C505B8">
              <w:rPr>
                <w:rFonts w:ascii="Times New Roman" w:hAnsi="Times New Roman"/>
                <w:sz w:val="26"/>
                <w:szCs w:val="26"/>
              </w:rPr>
              <w:t>ngày</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Quyết định hành chính</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Phê duyệt</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Lãnh đạo phòng xem xét hồ sơ, yêu cầu giải trình (nếu có), ký Quyết định cho phép trường trung học cơ sở hoạt động giáo dục trở lại.</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Lãnh đạo phòng</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01 ngày</w:t>
            </w:r>
          </w:p>
        </w:tc>
        <w:tc>
          <w:tcPr>
            <w:tcW w:w="1444"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Quyết định hành chính;</w:t>
            </w:r>
          </w:p>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Mẫu số 05 (QT-UBND-06)</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Hoàn thiện hồ sơ và bàn giao kết quả</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lastRenderedPageBreak/>
              <w:t xml:space="preserve">Chuyển hồ sơ đã ký duyệt cho bộ phận văn thư đóng dấu văn bản và ký bàn giao kết quả về BPMC UBND </w:t>
            </w:r>
            <w:r>
              <w:rPr>
                <w:rFonts w:ascii="Times New Roman" w:hAnsi="Times New Roman"/>
                <w:sz w:val="26"/>
                <w:szCs w:val="26"/>
              </w:rPr>
              <w:t>huyện</w:t>
            </w:r>
            <w:r w:rsidRPr="00C505B8">
              <w:rPr>
                <w:rFonts w:ascii="Times New Roman" w:hAnsi="Times New Roman"/>
                <w:sz w:val="26"/>
                <w:szCs w:val="26"/>
              </w:rPr>
              <w:t>.</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Lưu hồ sơ theo dõi.</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lastRenderedPageBreak/>
              <w:t xml:space="preserve">Phòng </w:t>
            </w:r>
            <w:r w:rsidRPr="00C505B8">
              <w:rPr>
                <w:rFonts w:ascii="Times New Roman" w:hAnsi="Times New Roman"/>
                <w:sz w:val="26"/>
                <w:szCs w:val="26"/>
              </w:rPr>
              <w:lastRenderedPageBreak/>
              <w:t>GD&amp;ĐT;</w:t>
            </w:r>
          </w:p>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BPMC</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lastRenderedPageBreak/>
              <w:t>½ ngày</w:t>
            </w:r>
          </w:p>
        </w:tc>
        <w:tc>
          <w:tcPr>
            <w:tcW w:w="1444" w:type="dxa"/>
            <w:gridSpan w:val="2"/>
            <w:vMerge w:val="restart"/>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 xml:space="preserve">Quyết định </w:t>
            </w:r>
            <w:r w:rsidRPr="00C505B8">
              <w:rPr>
                <w:rFonts w:ascii="Times New Roman" w:hAnsi="Times New Roman"/>
                <w:sz w:val="26"/>
                <w:szCs w:val="26"/>
              </w:rPr>
              <w:lastRenderedPageBreak/>
              <w:t>hành chính;</w:t>
            </w:r>
          </w:p>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QT-UBND-06</w:t>
            </w:r>
          </w:p>
        </w:tc>
      </w:tr>
      <w:tr w:rsidR="00D147CB" w:rsidRPr="00C505B8" w:rsidTr="00EC3D56">
        <w:tc>
          <w:tcPr>
            <w:tcW w:w="675" w:type="dxa"/>
            <w:shd w:val="clear" w:color="auto" w:fill="auto"/>
          </w:tcPr>
          <w:p w:rsidR="00D147CB" w:rsidRPr="00C505B8" w:rsidRDefault="00D147CB"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D147CB" w:rsidRPr="00C505B8" w:rsidRDefault="00D147CB" w:rsidP="00EC3D56">
            <w:pPr>
              <w:widowControl w:val="0"/>
              <w:spacing w:before="120" w:after="120" w:line="300" w:lineRule="exact"/>
              <w:jc w:val="both"/>
              <w:rPr>
                <w:rFonts w:ascii="Times New Roman" w:hAnsi="Times New Roman"/>
                <w:b/>
                <w:bCs/>
                <w:i/>
                <w:iCs/>
                <w:sz w:val="26"/>
                <w:szCs w:val="26"/>
              </w:rPr>
            </w:pPr>
            <w:r w:rsidRPr="00C505B8">
              <w:rPr>
                <w:rFonts w:ascii="Times New Roman" w:hAnsi="Times New Roman"/>
                <w:b/>
                <w:bCs/>
                <w:i/>
                <w:iCs/>
                <w:sz w:val="26"/>
                <w:szCs w:val="26"/>
              </w:rPr>
              <w:t>Trả kết quả</w:t>
            </w:r>
          </w:p>
          <w:p w:rsidR="00D147CB" w:rsidRPr="00C505B8" w:rsidRDefault="00D147CB" w:rsidP="00EC3D56">
            <w:pPr>
              <w:widowControl w:val="0"/>
              <w:spacing w:before="120" w:after="120" w:line="300" w:lineRule="exact"/>
              <w:jc w:val="both"/>
              <w:rPr>
                <w:rFonts w:ascii="Times New Roman" w:hAnsi="Times New Roman"/>
                <w:sz w:val="26"/>
                <w:szCs w:val="26"/>
              </w:rPr>
            </w:pPr>
            <w:r w:rsidRPr="00C505B8">
              <w:rPr>
                <w:rFonts w:ascii="Times New Roman" w:hAnsi="Times New Roman"/>
                <w:sz w:val="26"/>
                <w:szCs w:val="26"/>
              </w:rPr>
              <w:t xml:space="preserve">BPMC UBND </w:t>
            </w:r>
            <w:r>
              <w:rPr>
                <w:rFonts w:ascii="Times New Roman" w:hAnsi="Times New Roman"/>
                <w:sz w:val="26"/>
                <w:szCs w:val="26"/>
              </w:rPr>
              <w:t>huyện</w:t>
            </w:r>
            <w:r w:rsidRPr="00C505B8">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BPMC</w:t>
            </w:r>
          </w:p>
        </w:tc>
        <w:tc>
          <w:tcPr>
            <w:tcW w:w="1276" w:type="dxa"/>
            <w:gridSpan w:val="2"/>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r w:rsidRPr="00C505B8">
              <w:rPr>
                <w:rFonts w:ascii="Times New Roman" w:hAnsi="Times New Roman"/>
                <w:sz w:val="26"/>
                <w:szCs w:val="26"/>
              </w:rPr>
              <w:t>½ ngày</w:t>
            </w:r>
          </w:p>
        </w:tc>
        <w:tc>
          <w:tcPr>
            <w:tcW w:w="1444" w:type="dxa"/>
            <w:gridSpan w:val="2"/>
            <w:vMerge/>
            <w:shd w:val="clear" w:color="auto" w:fill="auto"/>
            <w:vAlign w:val="center"/>
          </w:tcPr>
          <w:p w:rsidR="00D147CB" w:rsidRPr="00C505B8" w:rsidRDefault="00D147CB"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PHỤ LỤC, BIỂU MẪU</w:t>
      </w:r>
    </w:p>
    <w:tbl>
      <w:tblPr>
        <w:tblStyle w:val="TableGrid"/>
        <w:tblW w:w="9240" w:type="dxa"/>
        <w:tblLayout w:type="fixed"/>
        <w:tblLook w:val="04A0"/>
      </w:tblPr>
      <w:tblGrid>
        <w:gridCol w:w="563"/>
        <w:gridCol w:w="3089"/>
        <w:gridCol w:w="5588"/>
      </w:tblGrid>
      <w:tr w:rsidR="00167851" w:rsidTr="00C4248C">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3089" w:type="dxa"/>
            <w:vAlign w:val="center"/>
          </w:tcPr>
          <w:p w:rsidR="00167851" w:rsidRDefault="00AE2065">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588"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C4248C" w:rsidRDefault="00C4248C" w:rsidP="00C4248C">
      <w:pPr>
        <w:pStyle w:val="ListParagraph"/>
        <w:spacing w:before="120" w:after="120" w:line="300" w:lineRule="exact"/>
        <w:ind w:left="1080"/>
        <w:jc w:val="both"/>
        <w:rPr>
          <w:rFonts w:ascii="Times New Roman" w:hAnsi="Times New Roman" w:cs="Times New Roman"/>
          <w:b/>
          <w:bCs/>
          <w:sz w:val="26"/>
          <w:szCs w:val="26"/>
        </w:rPr>
      </w:pPr>
    </w:p>
    <w:p w:rsidR="00C4248C" w:rsidRDefault="00C4248C" w:rsidP="00C4248C">
      <w:pPr>
        <w:pStyle w:val="ListParagraph"/>
        <w:spacing w:before="120" w:after="120" w:line="300" w:lineRule="exact"/>
        <w:ind w:left="1080"/>
        <w:jc w:val="both"/>
        <w:rPr>
          <w:rFonts w:ascii="Times New Roman" w:hAnsi="Times New Roman" w:cs="Times New Roman"/>
          <w:b/>
          <w:bCs/>
          <w:sz w:val="26"/>
          <w:szCs w:val="26"/>
        </w:rPr>
      </w:pPr>
    </w:p>
    <w:p w:rsidR="00167851" w:rsidRDefault="00AE2065" w:rsidP="00C4248C">
      <w:pPr>
        <w:pStyle w:val="ListParagraph"/>
        <w:numPr>
          <w:ilvl w:val="0"/>
          <w:numId w:val="1"/>
        </w:numPr>
        <w:spacing w:before="120" w:after="120" w:line="300" w:lineRule="exact"/>
        <w:jc w:val="both"/>
        <w:rPr>
          <w:rFonts w:ascii="Times New Roman" w:hAnsi="Times New Roman" w:cs="Times New Roman"/>
          <w:b/>
          <w:bCs/>
          <w:sz w:val="26"/>
          <w:szCs w:val="26"/>
        </w:rPr>
      </w:pPr>
      <w:bookmarkStart w:id="1" w:name="_Hlk82466904"/>
      <w:r>
        <w:rPr>
          <w:rFonts w:ascii="Times New Roman" w:hAnsi="Times New Roman"/>
          <w:b/>
          <w:bCs/>
          <w:sz w:val="26"/>
          <w:szCs w:val="26"/>
        </w:rPr>
        <w:t>HỒ SƠ CẦN LƯU</w:t>
      </w:r>
      <w:bookmarkEnd w:id="1"/>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AE2065">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8A1A31">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AB3896">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18" w:rsidRDefault="00200518">
      <w:pPr>
        <w:spacing w:after="0" w:line="240" w:lineRule="auto"/>
      </w:pPr>
      <w:r>
        <w:separator/>
      </w:r>
    </w:p>
  </w:endnote>
  <w:endnote w:type="continuationSeparator" w:id="1">
    <w:p w:rsidR="00200518" w:rsidRDefault="00200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18" w:rsidRDefault="00200518">
      <w:pPr>
        <w:spacing w:after="0" w:line="240" w:lineRule="auto"/>
      </w:pPr>
      <w:r>
        <w:separator/>
      </w:r>
    </w:p>
  </w:footnote>
  <w:footnote w:type="continuationSeparator" w:id="1">
    <w:p w:rsidR="00200518" w:rsidRDefault="002005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7129F0">
            <w:rPr>
              <w:rFonts w:ascii="Times New Roman" w:hAnsi="Times New Roman" w:cs="Times New Roman"/>
              <w:sz w:val="24"/>
              <w:szCs w:val="24"/>
            </w:rPr>
            <w:t>0</w:t>
          </w:r>
          <w:r w:rsidR="009B5373">
            <w:rPr>
              <w:rFonts w:ascii="Times New Roman" w:hAnsi="Times New Roman" w:cs="Times New Roman"/>
              <w:sz w:val="24"/>
              <w:szCs w:val="24"/>
            </w:rPr>
            <w:t>3</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A06F5C"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Cho phép trường THCS hoạt động </w:t>
          </w:r>
          <w:r w:rsidR="007907AD">
            <w:rPr>
              <w:rFonts w:ascii="Times New Roman" w:hAnsi="Times New Roman" w:cs="Times New Roman"/>
              <w:b/>
              <w:bCs/>
              <w:sz w:val="24"/>
              <w:szCs w:val="24"/>
            </w:rPr>
            <w:t>trở lại</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E30D9B">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E91717">
            <w:rPr>
              <w:rStyle w:val="PageNumber"/>
              <w:rFonts w:ascii="Times New Roman" w:hAnsi="Times New Roman" w:cs="Times New Roman"/>
              <w:sz w:val="24"/>
              <w:szCs w:val="24"/>
            </w:rPr>
            <w:t>2</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E91717">
            <w:rPr>
              <w:rStyle w:val="PageNumber"/>
              <w:rFonts w:ascii="Times New Roman" w:hAnsi="Times New Roman" w:cs="Times New Roman"/>
              <w:sz w:val="24"/>
              <w:szCs w:val="24"/>
            </w:rPr>
            <w:t>6</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7A8924F7"/>
    <w:multiLevelType w:val="hybridMultilevel"/>
    <w:tmpl w:val="A8C659F2"/>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17"/>
  </w:num>
  <w:num w:numId="5">
    <w:abstractNumId w:val="14"/>
  </w:num>
  <w:num w:numId="6">
    <w:abstractNumId w:val="5"/>
  </w:num>
  <w:num w:numId="7">
    <w:abstractNumId w:val="0"/>
  </w:num>
  <w:num w:numId="8">
    <w:abstractNumId w:val="3"/>
  </w:num>
  <w:num w:numId="9">
    <w:abstractNumId w:val="10"/>
  </w:num>
  <w:num w:numId="10">
    <w:abstractNumId w:val="9"/>
  </w:num>
  <w:num w:numId="11">
    <w:abstractNumId w:val="19"/>
  </w:num>
  <w:num w:numId="12">
    <w:abstractNumId w:val="6"/>
  </w:num>
  <w:num w:numId="13">
    <w:abstractNumId w:val="11"/>
  </w:num>
  <w:num w:numId="14">
    <w:abstractNumId w:val="12"/>
  </w:num>
  <w:num w:numId="15">
    <w:abstractNumId w:val="15"/>
  </w:num>
  <w:num w:numId="16">
    <w:abstractNumId w:val="4"/>
  </w:num>
  <w:num w:numId="17">
    <w:abstractNumId w:val="13"/>
  </w:num>
  <w:num w:numId="18">
    <w:abstractNumId w:val="16"/>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29E5"/>
    <w:rsid w:val="0001561A"/>
    <w:rsid w:val="00017E41"/>
    <w:rsid w:val="00021386"/>
    <w:rsid w:val="00024DCF"/>
    <w:rsid w:val="000322C6"/>
    <w:rsid w:val="0003624F"/>
    <w:rsid w:val="00043487"/>
    <w:rsid w:val="000534F2"/>
    <w:rsid w:val="00056F32"/>
    <w:rsid w:val="00062BDC"/>
    <w:rsid w:val="000651F3"/>
    <w:rsid w:val="00070139"/>
    <w:rsid w:val="00070993"/>
    <w:rsid w:val="000726EB"/>
    <w:rsid w:val="00073148"/>
    <w:rsid w:val="0008191C"/>
    <w:rsid w:val="0008242E"/>
    <w:rsid w:val="00082819"/>
    <w:rsid w:val="00084F7B"/>
    <w:rsid w:val="00095B9E"/>
    <w:rsid w:val="00095EAF"/>
    <w:rsid w:val="00096927"/>
    <w:rsid w:val="000A632B"/>
    <w:rsid w:val="000A6ED9"/>
    <w:rsid w:val="000B1434"/>
    <w:rsid w:val="000B1D02"/>
    <w:rsid w:val="000B3A81"/>
    <w:rsid w:val="000B62AE"/>
    <w:rsid w:val="000C164A"/>
    <w:rsid w:val="000C4587"/>
    <w:rsid w:val="000C4B9C"/>
    <w:rsid w:val="000C56F4"/>
    <w:rsid w:val="000D1B4B"/>
    <w:rsid w:val="000F5808"/>
    <w:rsid w:val="000F7A3D"/>
    <w:rsid w:val="001059FB"/>
    <w:rsid w:val="00105D1D"/>
    <w:rsid w:val="00111811"/>
    <w:rsid w:val="00111D57"/>
    <w:rsid w:val="001124BD"/>
    <w:rsid w:val="00114A94"/>
    <w:rsid w:val="00116AAE"/>
    <w:rsid w:val="00121347"/>
    <w:rsid w:val="001214D1"/>
    <w:rsid w:val="00127BDF"/>
    <w:rsid w:val="001347BF"/>
    <w:rsid w:val="00147D2B"/>
    <w:rsid w:val="00156C29"/>
    <w:rsid w:val="0016145D"/>
    <w:rsid w:val="00164513"/>
    <w:rsid w:val="00167851"/>
    <w:rsid w:val="001739D9"/>
    <w:rsid w:val="001805C2"/>
    <w:rsid w:val="00185A30"/>
    <w:rsid w:val="0018676A"/>
    <w:rsid w:val="00186A0C"/>
    <w:rsid w:val="00192387"/>
    <w:rsid w:val="00195199"/>
    <w:rsid w:val="001A6FFE"/>
    <w:rsid w:val="001A7C93"/>
    <w:rsid w:val="001B0B19"/>
    <w:rsid w:val="001B0BCC"/>
    <w:rsid w:val="001B2FF4"/>
    <w:rsid w:val="001B5C84"/>
    <w:rsid w:val="001B79AC"/>
    <w:rsid w:val="001C2921"/>
    <w:rsid w:val="001D54FF"/>
    <w:rsid w:val="001E7B27"/>
    <w:rsid w:val="001E7E13"/>
    <w:rsid w:val="001F0295"/>
    <w:rsid w:val="001F0932"/>
    <w:rsid w:val="001F1091"/>
    <w:rsid w:val="00200518"/>
    <w:rsid w:val="002019A5"/>
    <w:rsid w:val="00204C3F"/>
    <w:rsid w:val="002100CF"/>
    <w:rsid w:val="00221914"/>
    <w:rsid w:val="00230CF7"/>
    <w:rsid w:val="00232B79"/>
    <w:rsid w:val="00233680"/>
    <w:rsid w:val="00234FDF"/>
    <w:rsid w:val="002402E0"/>
    <w:rsid w:val="002429B4"/>
    <w:rsid w:val="00252110"/>
    <w:rsid w:val="00254DA9"/>
    <w:rsid w:val="00255389"/>
    <w:rsid w:val="0026283F"/>
    <w:rsid w:val="00266DDD"/>
    <w:rsid w:val="00276555"/>
    <w:rsid w:val="00280481"/>
    <w:rsid w:val="002807D5"/>
    <w:rsid w:val="00284AA2"/>
    <w:rsid w:val="00285F22"/>
    <w:rsid w:val="002901B0"/>
    <w:rsid w:val="002A45EC"/>
    <w:rsid w:val="002A7990"/>
    <w:rsid w:val="002B2E90"/>
    <w:rsid w:val="002C37F0"/>
    <w:rsid w:val="002C7829"/>
    <w:rsid w:val="002D069D"/>
    <w:rsid w:val="002D24BF"/>
    <w:rsid w:val="002D3DB8"/>
    <w:rsid w:val="002D5C05"/>
    <w:rsid w:val="002D7756"/>
    <w:rsid w:val="002D7F0C"/>
    <w:rsid w:val="002E152E"/>
    <w:rsid w:val="002E3037"/>
    <w:rsid w:val="002E3D7A"/>
    <w:rsid w:val="002E6FBD"/>
    <w:rsid w:val="002F0813"/>
    <w:rsid w:val="002F30A0"/>
    <w:rsid w:val="002F372C"/>
    <w:rsid w:val="0030013D"/>
    <w:rsid w:val="00300392"/>
    <w:rsid w:val="00307837"/>
    <w:rsid w:val="00310607"/>
    <w:rsid w:val="003119AA"/>
    <w:rsid w:val="00323BC8"/>
    <w:rsid w:val="003248AC"/>
    <w:rsid w:val="00330E95"/>
    <w:rsid w:val="00332BF2"/>
    <w:rsid w:val="0033379F"/>
    <w:rsid w:val="00335A13"/>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5AF6"/>
    <w:rsid w:val="0039797C"/>
    <w:rsid w:val="003A6D1F"/>
    <w:rsid w:val="003B2332"/>
    <w:rsid w:val="003B7734"/>
    <w:rsid w:val="003B7924"/>
    <w:rsid w:val="003C0D3D"/>
    <w:rsid w:val="003C180A"/>
    <w:rsid w:val="003C36BB"/>
    <w:rsid w:val="003D054B"/>
    <w:rsid w:val="003D48DE"/>
    <w:rsid w:val="003E3918"/>
    <w:rsid w:val="003E68FC"/>
    <w:rsid w:val="003F1804"/>
    <w:rsid w:val="003F487C"/>
    <w:rsid w:val="003F79F2"/>
    <w:rsid w:val="004045DB"/>
    <w:rsid w:val="00407434"/>
    <w:rsid w:val="004163FE"/>
    <w:rsid w:val="00417E64"/>
    <w:rsid w:val="00425BBA"/>
    <w:rsid w:val="0042694E"/>
    <w:rsid w:val="00427692"/>
    <w:rsid w:val="00433048"/>
    <w:rsid w:val="00434D9C"/>
    <w:rsid w:val="00435199"/>
    <w:rsid w:val="00442627"/>
    <w:rsid w:val="00444215"/>
    <w:rsid w:val="0044450E"/>
    <w:rsid w:val="00447F01"/>
    <w:rsid w:val="00454368"/>
    <w:rsid w:val="004719B0"/>
    <w:rsid w:val="00472320"/>
    <w:rsid w:val="00483EB0"/>
    <w:rsid w:val="00483F96"/>
    <w:rsid w:val="004858C9"/>
    <w:rsid w:val="00490587"/>
    <w:rsid w:val="00497F0F"/>
    <w:rsid w:val="004B4003"/>
    <w:rsid w:val="004C231F"/>
    <w:rsid w:val="004D5D59"/>
    <w:rsid w:val="004D6E32"/>
    <w:rsid w:val="004F66C2"/>
    <w:rsid w:val="00507DA3"/>
    <w:rsid w:val="005113D6"/>
    <w:rsid w:val="005122B0"/>
    <w:rsid w:val="00532641"/>
    <w:rsid w:val="00533949"/>
    <w:rsid w:val="005348AE"/>
    <w:rsid w:val="0054081E"/>
    <w:rsid w:val="00542395"/>
    <w:rsid w:val="00550D41"/>
    <w:rsid w:val="00554FE8"/>
    <w:rsid w:val="005637C3"/>
    <w:rsid w:val="00563F45"/>
    <w:rsid w:val="0057653B"/>
    <w:rsid w:val="00577E02"/>
    <w:rsid w:val="005864A1"/>
    <w:rsid w:val="00590131"/>
    <w:rsid w:val="005914E4"/>
    <w:rsid w:val="00592111"/>
    <w:rsid w:val="0059468E"/>
    <w:rsid w:val="005A0F24"/>
    <w:rsid w:val="005B0CE6"/>
    <w:rsid w:val="005B0DE5"/>
    <w:rsid w:val="005B309F"/>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6036"/>
    <w:rsid w:val="006261F8"/>
    <w:rsid w:val="00626C5B"/>
    <w:rsid w:val="00633454"/>
    <w:rsid w:val="006341B7"/>
    <w:rsid w:val="006345F4"/>
    <w:rsid w:val="00637490"/>
    <w:rsid w:val="00646B7D"/>
    <w:rsid w:val="0064757C"/>
    <w:rsid w:val="00647C38"/>
    <w:rsid w:val="00651A34"/>
    <w:rsid w:val="006615A5"/>
    <w:rsid w:val="006649E2"/>
    <w:rsid w:val="00671240"/>
    <w:rsid w:val="0067200E"/>
    <w:rsid w:val="0067327A"/>
    <w:rsid w:val="00675736"/>
    <w:rsid w:val="0068134B"/>
    <w:rsid w:val="00681BCD"/>
    <w:rsid w:val="00684B59"/>
    <w:rsid w:val="006940CF"/>
    <w:rsid w:val="006946D2"/>
    <w:rsid w:val="00697FB0"/>
    <w:rsid w:val="006A6182"/>
    <w:rsid w:val="006B3149"/>
    <w:rsid w:val="006B3997"/>
    <w:rsid w:val="006B6417"/>
    <w:rsid w:val="006B7EC5"/>
    <w:rsid w:val="006C6A1F"/>
    <w:rsid w:val="006E36CC"/>
    <w:rsid w:val="006E3E19"/>
    <w:rsid w:val="006F7BFE"/>
    <w:rsid w:val="00700CEC"/>
    <w:rsid w:val="00702559"/>
    <w:rsid w:val="007129F0"/>
    <w:rsid w:val="00720004"/>
    <w:rsid w:val="007231B0"/>
    <w:rsid w:val="00723A73"/>
    <w:rsid w:val="00740633"/>
    <w:rsid w:val="00741EC1"/>
    <w:rsid w:val="00743BE1"/>
    <w:rsid w:val="00746003"/>
    <w:rsid w:val="00753C09"/>
    <w:rsid w:val="00754BEB"/>
    <w:rsid w:val="0075733D"/>
    <w:rsid w:val="00763364"/>
    <w:rsid w:val="00763B5F"/>
    <w:rsid w:val="00774C70"/>
    <w:rsid w:val="00776343"/>
    <w:rsid w:val="00782D28"/>
    <w:rsid w:val="007853D8"/>
    <w:rsid w:val="00786114"/>
    <w:rsid w:val="007907AD"/>
    <w:rsid w:val="00797170"/>
    <w:rsid w:val="00797997"/>
    <w:rsid w:val="007A2A85"/>
    <w:rsid w:val="007A5292"/>
    <w:rsid w:val="007A7C87"/>
    <w:rsid w:val="007B3233"/>
    <w:rsid w:val="007B5098"/>
    <w:rsid w:val="007C3A5A"/>
    <w:rsid w:val="007C5E8D"/>
    <w:rsid w:val="007D0BA8"/>
    <w:rsid w:val="007D55CD"/>
    <w:rsid w:val="007F01B6"/>
    <w:rsid w:val="007F4396"/>
    <w:rsid w:val="007F53B0"/>
    <w:rsid w:val="0080275A"/>
    <w:rsid w:val="00802958"/>
    <w:rsid w:val="008059E3"/>
    <w:rsid w:val="00806538"/>
    <w:rsid w:val="00810B33"/>
    <w:rsid w:val="00815D1F"/>
    <w:rsid w:val="008335BA"/>
    <w:rsid w:val="008353F4"/>
    <w:rsid w:val="008418A2"/>
    <w:rsid w:val="00842A6A"/>
    <w:rsid w:val="00850EE8"/>
    <w:rsid w:val="008555E6"/>
    <w:rsid w:val="00856853"/>
    <w:rsid w:val="008621B5"/>
    <w:rsid w:val="00864B52"/>
    <w:rsid w:val="00875DDC"/>
    <w:rsid w:val="00875FD2"/>
    <w:rsid w:val="00876189"/>
    <w:rsid w:val="00876522"/>
    <w:rsid w:val="008851C1"/>
    <w:rsid w:val="0088678C"/>
    <w:rsid w:val="008876D6"/>
    <w:rsid w:val="008926E7"/>
    <w:rsid w:val="0089295E"/>
    <w:rsid w:val="008A1A31"/>
    <w:rsid w:val="008A43F9"/>
    <w:rsid w:val="008B0057"/>
    <w:rsid w:val="008B4593"/>
    <w:rsid w:val="008B49E9"/>
    <w:rsid w:val="008B5C7D"/>
    <w:rsid w:val="008C15F9"/>
    <w:rsid w:val="008C211E"/>
    <w:rsid w:val="008C4F1B"/>
    <w:rsid w:val="008C5D3F"/>
    <w:rsid w:val="008D5906"/>
    <w:rsid w:val="008E4EA1"/>
    <w:rsid w:val="009027DD"/>
    <w:rsid w:val="0090399B"/>
    <w:rsid w:val="00905394"/>
    <w:rsid w:val="00911947"/>
    <w:rsid w:val="00912780"/>
    <w:rsid w:val="009130CC"/>
    <w:rsid w:val="00914F7F"/>
    <w:rsid w:val="009256F9"/>
    <w:rsid w:val="0093141A"/>
    <w:rsid w:val="00934F32"/>
    <w:rsid w:val="00936C72"/>
    <w:rsid w:val="00936DB3"/>
    <w:rsid w:val="00940863"/>
    <w:rsid w:val="009426E5"/>
    <w:rsid w:val="00961E13"/>
    <w:rsid w:val="00965FC4"/>
    <w:rsid w:val="0097432A"/>
    <w:rsid w:val="00975F7E"/>
    <w:rsid w:val="009820B2"/>
    <w:rsid w:val="00990EDB"/>
    <w:rsid w:val="009A44FB"/>
    <w:rsid w:val="009B1402"/>
    <w:rsid w:val="009B1ABA"/>
    <w:rsid w:val="009B5373"/>
    <w:rsid w:val="009B7676"/>
    <w:rsid w:val="009C1723"/>
    <w:rsid w:val="009C6532"/>
    <w:rsid w:val="009D56E3"/>
    <w:rsid w:val="009D77C2"/>
    <w:rsid w:val="009E2856"/>
    <w:rsid w:val="009E4273"/>
    <w:rsid w:val="009F03B0"/>
    <w:rsid w:val="00A00BC1"/>
    <w:rsid w:val="00A027F9"/>
    <w:rsid w:val="00A03B3B"/>
    <w:rsid w:val="00A04F68"/>
    <w:rsid w:val="00A06F5C"/>
    <w:rsid w:val="00A13A37"/>
    <w:rsid w:val="00A16397"/>
    <w:rsid w:val="00A166A5"/>
    <w:rsid w:val="00A32A2D"/>
    <w:rsid w:val="00A337E5"/>
    <w:rsid w:val="00A3386A"/>
    <w:rsid w:val="00A3596F"/>
    <w:rsid w:val="00A3679F"/>
    <w:rsid w:val="00A37E72"/>
    <w:rsid w:val="00A4101E"/>
    <w:rsid w:val="00A51C3A"/>
    <w:rsid w:val="00A5464B"/>
    <w:rsid w:val="00A54F1E"/>
    <w:rsid w:val="00A562FF"/>
    <w:rsid w:val="00A91A1D"/>
    <w:rsid w:val="00AB21E8"/>
    <w:rsid w:val="00AB2E90"/>
    <w:rsid w:val="00AB3896"/>
    <w:rsid w:val="00AD5F1A"/>
    <w:rsid w:val="00AE2065"/>
    <w:rsid w:val="00AE3DEB"/>
    <w:rsid w:val="00AE47BD"/>
    <w:rsid w:val="00AE62E8"/>
    <w:rsid w:val="00AF4B3C"/>
    <w:rsid w:val="00B1604E"/>
    <w:rsid w:val="00B20204"/>
    <w:rsid w:val="00B25DA8"/>
    <w:rsid w:val="00B37B3B"/>
    <w:rsid w:val="00B4031E"/>
    <w:rsid w:val="00B41C4C"/>
    <w:rsid w:val="00B5573A"/>
    <w:rsid w:val="00B57633"/>
    <w:rsid w:val="00B66992"/>
    <w:rsid w:val="00B67D49"/>
    <w:rsid w:val="00B71DCE"/>
    <w:rsid w:val="00B739CC"/>
    <w:rsid w:val="00B73D10"/>
    <w:rsid w:val="00B741E7"/>
    <w:rsid w:val="00B74EA9"/>
    <w:rsid w:val="00B81270"/>
    <w:rsid w:val="00B83C06"/>
    <w:rsid w:val="00B840BF"/>
    <w:rsid w:val="00B903FD"/>
    <w:rsid w:val="00BA077E"/>
    <w:rsid w:val="00BA090D"/>
    <w:rsid w:val="00BB3D2D"/>
    <w:rsid w:val="00BB4078"/>
    <w:rsid w:val="00BB76C8"/>
    <w:rsid w:val="00BC1B7A"/>
    <w:rsid w:val="00BC3004"/>
    <w:rsid w:val="00BD45A2"/>
    <w:rsid w:val="00BD4B0C"/>
    <w:rsid w:val="00BD58BA"/>
    <w:rsid w:val="00BD7339"/>
    <w:rsid w:val="00BE0476"/>
    <w:rsid w:val="00BE0C9F"/>
    <w:rsid w:val="00C053AB"/>
    <w:rsid w:val="00C06558"/>
    <w:rsid w:val="00C10575"/>
    <w:rsid w:val="00C15397"/>
    <w:rsid w:val="00C15B89"/>
    <w:rsid w:val="00C20F3F"/>
    <w:rsid w:val="00C21E37"/>
    <w:rsid w:val="00C35DCC"/>
    <w:rsid w:val="00C37229"/>
    <w:rsid w:val="00C40F6C"/>
    <w:rsid w:val="00C4248C"/>
    <w:rsid w:val="00C42863"/>
    <w:rsid w:val="00C43C33"/>
    <w:rsid w:val="00C521F0"/>
    <w:rsid w:val="00C54794"/>
    <w:rsid w:val="00C60BD2"/>
    <w:rsid w:val="00C70621"/>
    <w:rsid w:val="00C77746"/>
    <w:rsid w:val="00C857A7"/>
    <w:rsid w:val="00C87FD4"/>
    <w:rsid w:val="00C9465C"/>
    <w:rsid w:val="00C95FB7"/>
    <w:rsid w:val="00C96BEB"/>
    <w:rsid w:val="00C96FAF"/>
    <w:rsid w:val="00CA7A34"/>
    <w:rsid w:val="00CB41D9"/>
    <w:rsid w:val="00CB42C3"/>
    <w:rsid w:val="00CC36F2"/>
    <w:rsid w:val="00CD002D"/>
    <w:rsid w:val="00CE7AA6"/>
    <w:rsid w:val="00CF3E34"/>
    <w:rsid w:val="00CF47CD"/>
    <w:rsid w:val="00CF6688"/>
    <w:rsid w:val="00CF7941"/>
    <w:rsid w:val="00D07573"/>
    <w:rsid w:val="00D147CB"/>
    <w:rsid w:val="00D15672"/>
    <w:rsid w:val="00D204B2"/>
    <w:rsid w:val="00D22969"/>
    <w:rsid w:val="00D2659B"/>
    <w:rsid w:val="00D266A7"/>
    <w:rsid w:val="00D345B1"/>
    <w:rsid w:val="00D40F50"/>
    <w:rsid w:val="00D61B2E"/>
    <w:rsid w:val="00D61E0F"/>
    <w:rsid w:val="00D74820"/>
    <w:rsid w:val="00D75F52"/>
    <w:rsid w:val="00D76E86"/>
    <w:rsid w:val="00D8093F"/>
    <w:rsid w:val="00D94EFA"/>
    <w:rsid w:val="00D95BC3"/>
    <w:rsid w:val="00D96EFD"/>
    <w:rsid w:val="00D97E05"/>
    <w:rsid w:val="00DA0A0D"/>
    <w:rsid w:val="00DB0566"/>
    <w:rsid w:val="00DB7CB8"/>
    <w:rsid w:val="00DC1F21"/>
    <w:rsid w:val="00DC20CC"/>
    <w:rsid w:val="00DC478B"/>
    <w:rsid w:val="00DC6C82"/>
    <w:rsid w:val="00DC6D29"/>
    <w:rsid w:val="00DD6532"/>
    <w:rsid w:val="00DD67CB"/>
    <w:rsid w:val="00DE1648"/>
    <w:rsid w:val="00DE3EF6"/>
    <w:rsid w:val="00DF4CF9"/>
    <w:rsid w:val="00DF582F"/>
    <w:rsid w:val="00E05D68"/>
    <w:rsid w:val="00E17BD4"/>
    <w:rsid w:val="00E2375E"/>
    <w:rsid w:val="00E302AC"/>
    <w:rsid w:val="00E30D9B"/>
    <w:rsid w:val="00E354CF"/>
    <w:rsid w:val="00E35B52"/>
    <w:rsid w:val="00E35F38"/>
    <w:rsid w:val="00E52AB3"/>
    <w:rsid w:val="00E57298"/>
    <w:rsid w:val="00E61837"/>
    <w:rsid w:val="00E6269B"/>
    <w:rsid w:val="00E6672D"/>
    <w:rsid w:val="00E66E2C"/>
    <w:rsid w:val="00E6755A"/>
    <w:rsid w:val="00E6794B"/>
    <w:rsid w:val="00E775A6"/>
    <w:rsid w:val="00E843BE"/>
    <w:rsid w:val="00E84EE1"/>
    <w:rsid w:val="00E91124"/>
    <w:rsid w:val="00E91717"/>
    <w:rsid w:val="00EA0ACE"/>
    <w:rsid w:val="00EA1432"/>
    <w:rsid w:val="00EA6E3E"/>
    <w:rsid w:val="00EB67CE"/>
    <w:rsid w:val="00EC3087"/>
    <w:rsid w:val="00ED1760"/>
    <w:rsid w:val="00ED52D9"/>
    <w:rsid w:val="00EE2E04"/>
    <w:rsid w:val="00EE58D9"/>
    <w:rsid w:val="00EF1F1B"/>
    <w:rsid w:val="00EF4302"/>
    <w:rsid w:val="00EF736D"/>
    <w:rsid w:val="00EF7B80"/>
    <w:rsid w:val="00F03E63"/>
    <w:rsid w:val="00F03E76"/>
    <w:rsid w:val="00F14F99"/>
    <w:rsid w:val="00F23AE1"/>
    <w:rsid w:val="00F25066"/>
    <w:rsid w:val="00F25614"/>
    <w:rsid w:val="00F33F10"/>
    <w:rsid w:val="00F50C19"/>
    <w:rsid w:val="00F528F6"/>
    <w:rsid w:val="00F54893"/>
    <w:rsid w:val="00F61BD8"/>
    <w:rsid w:val="00F87289"/>
    <w:rsid w:val="00F9088B"/>
    <w:rsid w:val="00F96450"/>
    <w:rsid w:val="00FA60A0"/>
    <w:rsid w:val="00FB29D9"/>
    <w:rsid w:val="00FB3E2B"/>
    <w:rsid w:val="00FB58E5"/>
    <w:rsid w:val="00FD0AE6"/>
    <w:rsid w:val="00FD565E"/>
    <w:rsid w:val="00FD7156"/>
    <w:rsid w:val="00FE2CB2"/>
    <w:rsid w:val="00FE3602"/>
    <w:rsid w:val="00FE447A"/>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896"/>
    <w:rPr>
      <w:rFonts w:asciiTheme="minorHAnsi" w:eastAsiaTheme="minorEastAsia" w:hAnsiTheme="minorHAnsi" w:cstheme="minorBidi"/>
      <w:noProof/>
      <w:lang w:eastAsia="zh-CN"/>
    </w:rPr>
  </w:style>
  <w:style w:type="paragraph" w:styleId="Heading1">
    <w:name w:val="heading 1"/>
    <w:basedOn w:val="Normal"/>
    <w:next w:val="Normal"/>
    <w:qFormat/>
    <w:rsid w:val="00AB38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3896"/>
    <w:pPr>
      <w:tabs>
        <w:tab w:val="center" w:pos="4153"/>
        <w:tab w:val="right" w:pos="8306"/>
      </w:tabs>
      <w:snapToGrid w:val="0"/>
    </w:pPr>
    <w:rPr>
      <w:sz w:val="18"/>
      <w:szCs w:val="18"/>
    </w:rPr>
  </w:style>
  <w:style w:type="paragraph" w:styleId="Header">
    <w:name w:val="header"/>
    <w:basedOn w:val="Normal"/>
    <w:rsid w:val="00AB3896"/>
    <w:pPr>
      <w:tabs>
        <w:tab w:val="center" w:pos="4153"/>
        <w:tab w:val="right" w:pos="8306"/>
      </w:tabs>
      <w:snapToGrid w:val="0"/>
    </w:pPr>
    <w:rPr>
      <w:sz w:val="18"/>
      <w:szCs w:val="18"/>
    </w:rPr>
  </w:style>
  <w:style w:type="table" w:styleId="TableGrid">
    <w:name w:val="Table Grid"/>
    <w:basedOn w:val="TableNormal"/>
    <w:rsid w:val="00AB38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AB3896"/>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DB0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0566"/>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2071430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74602063">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333529076">
      <w:bodyDiv w:val="1"/>
      <w:marLeft w:val="0"/>
      <w:marRight w:val="0"/>
      <w:marTop w:val="0"/>
      <w:marBottom w:val="0"/>
      <w:divBdr>
        <w:top w:val="none" w:sz="0" w:space="0" w:color="auto"/>
        <w:left w:val="none" w:sz="0" w:space="0" w:color="auto"/>
        <w:bottom w:val="none" w:sz="0" w:space="0" w:color="auto"/>
        <w:right w:val="none" w:sz="0" w:space="0" w:color="auto"/>
      </w:divBdr>
    </w:div>
    <w:div w:id="1346708782">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78464959">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53C17-5FCB-4BC7-A459-D5721591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6</Pages>
  <Words>1171</Words>
  <Characters>4519</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457</cp:revision>
  <cp:lastPrinted>2022-11-04T08:25:00Z</cp:lastPrinted>
  <dcterms:created xsi:type="dcterms:W3CDTF">2019-07-22T07:38:00Z</dcterms:created>
  <dcterms:modified xsi:type="dcterms:W3CDTF">2022-11-04T08:26:00Z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